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B3C" w:rsidRPr="00CA3B3C" w:rsidRDefault="00CA3B3C" w:rsidP="00A36A6A">
      <w:pPr>
        <w:widowControl/>
        <w:snapToGrid w:val="0"/>
        <w:spacing w:line="600" w:lineRule="atLeast"/>
        <w:jc w:val="left"/>
        <w:rPr>
          <w:rFonts w:ascii="宋体" w:eastAsia="宋体" w:hAnsi="宋体" w:cs="宋体"/>
          <w:color w:val="333333"/>
          <w:kern w:val="0"/>
          <w:sz w:val="24"/>
          <w:szCs w:val="24"/>
        </w:rPr>
      </w:pPr>
      <w:r w:rsidRPr="00CA3B3C">
        <w:rPr>
          <w:rFonts w:ascii="黑体" w:eastAsia="黑体" w:hAnsi="宋体" w:cs="宋体" w:hint="eastAsia"/>
          <w:color w:val="333333"/>
          <w:kern w:val="0"/>
          <w:sz w:val="30"/>
          <w:szCs w:val="30"/>
        </w:rPr>
        <w:t>附件</w:t>
      </w:r>
    </w:p>
    <w:p w:rsidR="00CA3B3C" w:rsidRPr="00CA3B3C" w:rsidRDefault="00CA3B3C" w:rsidP="00A36A6A">
      <w:pPr>
        <w:widowControl/>
        <w:snapToGrid w:val="0"/>
        <w:spacing w:line="600" w:lineRule="atLeast"/>
        <w:jc w:val="center"/>
        <w:rPr>
          <w:rFonts w:ascii="宋体" w:eastAsia="宋体" w:hAnsi="宋体" w:cs="宋体"/>
          <w:color w:val="333333"/>
          <w:kern w:val="0"/>
          <w:sz w:val="24"/>
          <w:szCs w:val="24"/>
        </w:rPr>
      </w:pPr>
      <w:bookmarkStart w:id="0" w:name="_GoBack"/>
      <w:r w:rsidRPr="00CA3B3C">
        <w:rPr>
          <w:rFonts w:ascii="方正小标宋简体" w:eastAsia="方正小标宋简体" w:hAnsi="宋体" w:cs="宋体" w:hint="eastAsia"/>
          <w:b/>
          <w:bCs/>
          <w:color w:val="333333"/>
          <w:kern w:val="0"/>
          <w:sz w:val="44"/>
          <w:szCs w:val="44"/>
        </w:rPr>
        <w:t>碳排放权交易管理暂行办法</w:t>
      </w:r>
    </w:p>
    <w:bookmarkEnd w:id="0"/>
    <w:p w:rsidR="00CA3B3C" w:rsidRPr="00CA3B3C" w:rsidRDefault="00CA3B3C" w:rsidP="00A36A6A">
      <w:pPr>
        <w:widowControl/>
        <w:snapToGrid w:val="0"/>
        <w:spacing w:line="600" w:lineRule="atLeast"/>
        <w:jc w:val="center"/>
        <w:outlineLvl w:val="0"/>
        <w:rPr>
          <w:rFonts w:ascii="宋体" w:eastAsia="宋体" w:hAnsi="宋体" w:cs="宋体"/>
          <w:color w:val="333333"/>
          <w:kern w:val="0"/>
          <w:sz w:val="24"/>
          <w:szCs w:val="24"/>
        </w:rPr>
      </w:pPr>
      <w:r w:rsidRPr="00CA3B3C">
        <w:rPr>
          <w:rFonts w:ascii="黑体" w:eastAsia="黑体" w:hAnsi="黑体" w:cs="黑体" w:hint="eastAsia"/>
          <w:color w:val="333333"/>
          <w:kern w:val="0"/>
          <w:sz w:val="30"/>
          <w:szCs w:val="30"/>
        </w:rPr>
        <w:t>第一章</w:t>
      </w:r>
      <w:r w:rsidRPr="00CA3B3C">
        <w:rPr>
          <w:rFonts w:ascii="黑体" w:eastAsia="黑体" w:hAnsi="黑体" w:cs="宋体" w:hint="eastAsia"/>
          <w:color w:val="333333"/>
          <w:kern w:val="0"/>
          <w:sz w:val="30"/>
          <w:szCs w:val="30"/>
        </w:rPr>
        <w:t>总则</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第一条</w:t>
      </w:r>
      <w:r w:rsidRPr="00CA3B3C">
        <w:rPr>
          <w:rFonts w:ascii="仿宋_GB2312" w:eastAsia="仿宋_GB2312" w:hAnsi="宋体" w:cs="宋体" w:hint="eastAsia"/>
          <w:color w:val="333333"/>
          <w:kern w:val="0"/>
          <w:sz w:val="30"/>
          <w:szCs w:val="30"/>
        </w:rPr>
        <w:t>为推进生态文明建设，加快经济发展方式转变，促进体制机制创新，充分发挥市场在温室气体排放资源配置中的决定性作用，加强对温室气体排放的控制和管理，规范碳排放权交易市场的建设和运行，制定本办法。</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第二条</w:t>
      </w:r>
      <w:r w:rsidRPr="00CA3B3C">
        <w:rPr>
          <w:rFonts w:ascii="仿宋_GB2312" w:eastAsia="仿宋_GB2312" w:hAnsi="宋体" w:cs="宋体" w:hint="eastAsia"/>
          <w:color w:val="333333"/>
          <w:kern w:val="0"/>
          <w:sz w:val="30"/>
          <w:szCs w:val="30"/>
        </w:rPr>
        <w:t>在中华人民共和国境内，对碳排放权交易活动的监督和管理，适用本办法。</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第三条</w:t>
      </w:r>
      <w:r w:rsidRPr="00CA3B3C">
        <w:rPr>
          <w:rFonts w:ascii="仿宋_GB2312" w:eastAsia="仿宋_GB2312" w:hAnsi="宋体" w:cs="宋体" w:hint="eastAsia"/>
          <w:color w:val="333333"/>
          <w:kern w:val="0"/>
          <w:sz w:val="30"/>
          <w:szCs w:val="30"/>
        </w:rPr>
        <w:t>本办法所称碳排放权交易，是指交易主体按照本办法开展的排放配额和国家核证自愿减排量的交易活动。</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第四条</w:t>
      </w:r>
      <w:r w:rsidRPr="00CA3B3C">
        <w:rPr>
          <w:rFonts w:ascii="仿宋_GB2312" w:eastAsia="仿宋_GB2312" w:hAnsi="宋体" w:cs="宋体" w:hint="eastAsia"/>
          <w:color w:val="333333"/>
          <w:kern w:val="0"/>
          <w:sz w:val="30"/>
          <w:szCs w:val="30"/>
        </w:rPr>
        <w:t>碳排放权交易坚持政府引导与市场运作相结合，遵循公开、公平、公正和诚信原则。</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第五条</w:t>
      </w:r>
      <w:r w:rsidRPr="00CA3B3C">
        <w:rPr>
          <w:rFonts w:ascii="仿宋_GB2312" w:eastAsia="仿宋_GB2312" w:hAnsi="宋体" w:cs="宋体" w:hint="eastAsia"/>
          <w:color w:val="333333"/>
          <w:kern w:val="0"/>
          <w:sz w:val="30"/>
          <w:szCs w:val="30"/>
        </w:rPr>
        <w:t>国家发展和改革委员会是碳排放权交易的国务院碳交易主管部门（以下称国务院碳交易主管部门），依据本办法负责碳排放权交易市场的建设，并对其运行进行管理、监督和指导。</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宋体" w:hint="eastAsia"/>
          <w:color w:val="333333"/>
          <w:kern w:val="0"/>
          <w:sz w:val="30"/>
          <w:szCs w:val="30"/>
        </w:rPr>
        <w:t>各省、自治区、直辖市发展和改革委员会是碳排放权交易的省级碳交易主管部门（以下称省级碳交易主管部门），依据本办法对本行政区域内的碳排放权交易相关活动进行管理、监督和指导。</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宋体" w:hint="eastAsia"/>
          <w:color w:val="333333"/>
          <w:kern w:val="0"/>
          <w:sz w:val="30"/>
          <w:szCs w:val="30"/>
        </w:rPr>
        <w:t>其它各有关部门</w:t>
      </w:r>
      <w:r w:rsidRPr="00CA3B3C">
        <w:rPr>
          <w:rFonts w:ascii="Calibri" w:eastAsia="仿宋_GB2312" w:hAnsi="宋体" w:cs="宋体" w:hint="eastAsia"/>
          <w:color w:val="333333"/>
          <w:kern w:val="0"/>
          <w:sz w:val="30"/>
          <w:szCs w:val="30"/>
        </w:rPr>
        <w:t>应按照各自职责，协同做好与碳排放权交易相关的管理工作。</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lastRenderedPageBreak/>
        <w:t>第六条</w:t>
      </w:r>
      <w:r w:rsidRPr="00CA3B3C">
        <w:rPr>
          <w:rFonts w:ascii="仿宋_GB2312" w:eastAsia="仿宋_GB2312" w:hAnsi="宋体" w:cs="宋体" w:hint="eastAsia"/>
          <w:color w:val="333333"/>
          <w:kern w:val="0"/>
          <w:sz w:val="30"/>
          <w:szCs w:val="30"/>
        </w:rPr>
        <w:t>国务院碳交易主管部门应适时公布碳排放权交易纳入的温室气体种类、行业范围和重点排放单位确定标准。</w:t>
      </w:r>
    </w:p>
    <w:p w:rsidR="00CA3B3C" w:rsidRPr="00CA3B3C" w:rsidRDefault="00CA3B3C" w:rsidP="00A36A6A">
      <w:pPr>
        <w:widowControl/>
        <w:snapToGrid w:val="0"/>
        <w:spacing w:line="600" w:lineRule="atLeast"/>
        <w:jc w:val="center"/>
        <w:outlineLvl w:val="0"/>
        <w:rPr>
          <w:rFonts w:ascii="宋体" w:eastAsia="宋体" w:hAnsi="宋体" w:cs="宋体"/>
          <w:color w:val="333333"/>
          <w:kern w:val="0"/>
          <w:sz w:val="24"/>
          <w:szCs w:val="24"/>
        </w:rPr>
      </w:pPr>
      <w:r w:rsidRPr="00CA3B3C">
        <w:rPr>
          <w:rFonts w:ascii="黑体" w:eastAsia="黑体" w:hAnsi="黑体" w:cs="黑体" w:hint="eastAsia"/>
          <w:color w:val="333333"/>
          <w:kern w:val="0"/>
          <w:sz w:val="30"/>
          <w:szCs w:val="30"/>
        </w:rPr>
        <w:t>第二章</w:t>
      </w:r>
      <w:r w:rsidRPr="00CA3B3C">
        <w:rPr>
          <w:rFonts w:ascii="黑体" w:eastAsia="黑体" w:hAnsi="黑体" w:cs="宋体" w:hint="eastAsia"/>
          <w:color w:val="333333"/>
          <w:kern w:val="0"/>
          <w:sz w:val="30"/>
          <w:szCs w:val="30"/>
        </w:rPr>
        <w:t>配额管理</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第七条</w:t>
      </w:r>
      <w:r w:rsidRPr="00CA3B3C">
        <w:rPr>
          <w:rFonts w:ascii="仿宋_GB2312" w:eastAsia="仿宋_GB2312" w:hAnsi="宋体" w:cs="宋体" w:hint="eastAsia"/>
          <w:color w:val="333333"/>
          <w:kern w:val="0"/>
          <w:sz w:val="30"/>
          <w:szCs w:val="30"/>
        </w:rPr>
        <w:t>省级碳交易主管部门应根据国务院碳交易主管部门公布的重点排放单位确定标准，提出本行政区域内所有符合标准的重点排放单位名单并报国务院碳交易主管部门，国务院碳交易主管部门确认后向社会公布。</w:t>
      </w:r>
    </w:p>
    <w:p w:rsidR="00CA3B3C" w:rsidRPr="00CA3B3C" w:rsidRDefault="00CA3B3C" w:rsidP="00A36A6A">
      <w:pPr>
        <w:widowControl/>
        <w:snapToGrid w:val="0"/>
        <w:spacing w:line="600" w:lineRule="atLeast"/>
        <w:ind w:firstLineChars="200" w:firstLine="600"/>
        <w:jc w:val="left"/>
        <w:rPr>
          <w:rFonts w:ascii="宋体" w:eastAsia="宋体" w:hAnsi="宋体" w:cs="宋体"/>
          <w:color w:val="333333"/>
          <w:kern w:val="0"/>
          <w:sz w:val="24"/>
          <w:szCs w:val="24"/>
        </w:rPr>
      </w:pPr>
      <w:r w:rsidRPr="00CA3B3C">
        <w:rPr>
          <w:rFonts w:ascii="仿宋_GB2312" w:eastAsia="仿宋_GB2312" w:hAnsi="宋体" w:cs="宋体" w:hint="eastAsia"/>
          <w:color w:val="333333"/>
          <w:kern w:val="0"/>
          <w:sz w:val="30"/>
          <w:szCs w:val="30"/>
        </w:rPr>
        <w:t>经国务院碳交易主管部门批准，省级碳交易主管部门可适当扩大碳排放权交易的行业覆盖范围，增加纳入碳排放权交易的重点排放单位。</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第八条</w:t>
      </w:r>
      <w:r w:rsidRPr="00CA3B3C">
        <w:rPr>
          <w:rFonts w:ascii="仿宋_GB2312" w:eastAsia="仿宋_GB2312" w:hAnsi="宋体" w:cs="宋体" w:hint="eastAsia"/>
          <w:color w:val="333333"/>
          <w:kern w:val="0"/>
          <w:sz w:val="30"/>
          <w:szCs w:val="30"/>
        </w:rPr>
        <w:t>国务院碳交易主管部门根据国家控制温室气体排放目标的要求，综合考虑国家和各省、自治区和直辖市温室气体排放、经济增长、产业结构、能源结构，以及重点排放单位纳入情况等因素，确定国家以及各省、自治区和直辖市的排放配额总量。</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第九条</w:t>
      </w:r>
      <w:r w:rsidRPr="00CA3B3C">
        <w:rPr>
          <w:rFonts w:ascii="仿宋_GB2312" w:eastAsia="仿宋_GB2312" w:hAnsi="宋体" w:cs="宋体" w:hint="eastAsia"/>
          <w:color w:val="333333"/>
          <w:kern w:val="0"/>
          <w:sz w:val="30"/>
          <w:szCs w:val="30"/>
        </w:rPr>
        <w:t>排放配额分配在初期以免费分配为主，适时引入有偿分配，并逐步提高有偿分配的比例。</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第十条</w:t>
      </w:r>
      <w:r w:rsidRPr="00CA3B3C">
        <w:rPr>
          <w:rFonts w:ascii="仿宋_GB2312" w:eastAsia="仿宋_GB2312" w:hAnsi="宋体" w:cs="宋体" w:hint="eastAsia"/>
          <w:color w:val="333333"/>
          <w:kern w:val="0"/>
          <w:sz w:val="30"/>
          <w:szCs w:val="30"/>
        </w:rPr>
        <w:t>国务院碳交易主管部门制定国家配额分配方案，明确各省、自治区、直辖市免费分配的排放配额数量、国家预留的排放配额数量等。</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第十一条</w:t>
      </w:r>
      <w:r w:rsidRPr="00CA3B3C">
        <w:rPr>
          <w:rFonts w:ascii="仿宋_GB2312" w:eastAsia="仿宋_GB2312" w:hAnsi="宋体" w:cs="宋体" w:hint="eastAsia"/>
          <w:color w:val="333333"/>
          <w:kern w:val="0"/>
          <w:sz w:val="30"/>
          <w:szCs w:val="30"/>
        </w:rPr>
        <w:t>国务院碳交易主管部门在排放配额总量中预留一定数量，用于有偿分配、市场调节、重大建设项目等。有偿分配所取得的收益，用于促进国家减碳以及相关的能力建设。</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lastRenderedPageBreak/>
        <w:t>第十二条</w:t>
      </w:r>
      <w:r w:rsidRPr="00CA3B3C">
        <w:rPr>
          <w:rFonts w:ascii="仿宋_GB2312" w:eastAsia="仿宋_GB2312" w:hAnsi="宋体" w:cs="宋体" w:hint="eastAsia"/>
          <w:color w:val="333333"/>
          <w:kern w:val="0"/>
          <w:sz w:val="30"/>
          <w:szCs w:val="30"/>
        </w:rPr>
        <w:t>国务院碳交易主管部门根据不同行业的具体情况，参考相关行业主管部门的意见，确定统一的配额免费分配方法和标准。</w:t>
      </w:r>
    </w:p>
    <w:p w:rsidR="00CA3B3C" w:rsidRPr="00CA3B3C" w:rsidRDefault="00CA3B3C" w:rsidP="00A36A6A">
      <w:pPr>
        <w:widowControl/>
        <w:snapToGrid w:val="0"/>
        <w:spacing w:line="600" w:lineRule="atLeast"/>
        <w:ind w:firstLineChars="200" w:firstLine="600"/>
        <w:jc w:val="left"/>
        <w:rPr>
          <w:rFonts w:ascii="宋体" w:eastAsia="宋体" w:hAnsi="宋体" w:cs="宋体"/>
          <w:color w:val="333333"/>
          <w:kern w:val="0"/>
          <w:sz w:val="24"/>
          <w:szCs w:val="24"/>
        </w:rPr>
      </w:pPr>
      <w:r w:rsidRPr="00CA3B3C">
        <w:rPr>
          <w:rFonts w:ascii="仿宋_GB2312" w:eastAsia="仿宋_GB2312" w:hAnsi="宋体" w:cs="宋体" w:hint="eastAsia"/>
          <w:color w:val="333333"/>
          <w:kern w:val="0"/>
          <w:sz w:val="30"/>
          <w:szCs w:val="30"/>
        </w:rPr>
        <w:t>各省、自治区、直辖市结合本地实际，可制定并执行比全国统一的配额免费分配方法和标准更加严格的分配方法和标准。</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第十三条</w:t>
      </w:r>
      <w:r w:rsidRPr="00CA3B3C">
        <w:rPr>
          <w:rFonts w:ascii="仿宋_GB2312" w:eastAsia="仿宋_GB2312" w:hAnsi="宋体" w:cs="宋体" w:hint="eastAsia"/>
          <w:color w:val="333333"/>
          <w:kern w:val="0"/>
          <w:sz w:val="30"/>
          <w:szCs w:val="30"/>
        </w:rPr>
        <w:t>省级碳交易主管部门依据第十二条确定的配额免费分配方法和标准，提出本行政区域内重点排放单位的免费分配配额数量，报国务院碳交易主管部门确定后，向本行政区域内的重点排放单位免费分配排放配额。</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第十四条</w:t>
      </w:r>
      <w:r w:rsidRPr="00CA3B3C">
        <w:rPr>
          <w:rFonts w:ascii="仿宋_GB2312" w:eastAsia="仿宋_GB2312" w:hAnsi="宋体" w:cs="宋体" w:hint="eastAsia"/>
          <w:color w:val="333333"/>
          <w:kern w:val="0"/>
          <w:sz w:val="30"/>
          <w:szCs w:val="30"/>
        </w:rPr>
        <w:t>各省、自治区和直辖市的排放配额总量中，扣除向本行政区域内重点排放单位免费分配的配额量后剩余的配额，由省级碳交易主管部门用于有偿分配。有偿分配所取得的收益，用于促进地方减碳以及相关的能力建设。</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第十五条</w:t>
      </w:r>
      <w:r w:rsidRPr="00CA3B3C">
        <w:rPr>
          <w:rFonts w:ascii="仿宋_GB2312" w:eastAsia="仿宋_GB2312" w:hAnsi="宋体" w:cs="宋体" w:hint="eastAsia"/>
          <w:color w:val="333333"/>
          <w:kern w:val="0"/>
          <w:sz w:val="30"/>
          <w:szCs w:val="30"/>
        </w:rPr>
        <w:t>重点排放单位关闭、停产、合并、分立或者产能发生重大变化的，省级碳交易主管部门可根据实际情况，对其已获得的免费配额进行调整。</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第十六条</w:t>
      </w:r>
      <w:r w:rsidRPr="00CA3B3C">
        <w:rPr>
          <w:rFonts w:ascii="仿宋_GB2312" w:eastAsia="仿宋_GB2312" w:hAnsi="宋体" w:cs="宋体" w:hint="eastAsia"/>
          <w:color w:val="333333"/>
          <w:kern w:val="0"/>
          <w:sz w:val="30"/>
          <w:szCs w:val="30"/>
        </w:rPr>
        <w:t>国务院碳交易主管部门负责建立和管理碳排放权交易注册登记系统（以下称注册登记系统），用于记录排放配额的持有、转移、清缴、注销等相关信息。注册登记系统中的信息是判断排放配额归属的最终依据。</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第十七条</w:t>
      </w:r>
      <w:r w:rsidRPr="00CA3B3C">
        <w:rPr>
          <w:rFonts w:ascii="仿宋_GB2312" w:eastAsia="仿宋_GB2312" w:hAnsi="宋体" w:cs="宋体" w:hint="eastAsia"/>
          <w:color w:val="333333"/>
          <w:kern w:val="0"/>
          <w:sz w:val="30"/>
          <w:szCs w:val="30"/>
        </w:rPr>
        <w:t>注册登记系统为国务院碳交易主管部门和省级碳交易主管部门、重点排放单位、交易机构和其他市场参与方等设立具有不同功能的账户。参与方根据国务院碳交易主管部门的相</w:t>
      </w:r>
      <w:r w:rsidRPr="00CA3B3C">
        <w:rPr>
          <w:rFonts w:ascii="仿宋_GB2312" w:eastAsia="仿宋_GB2312" w:hAnsi="宋体" w:cs="宋体" w:hint="eastAsia"/>
          <w:color w:val="333333"/>
          <w:kern w:val="0"/>
          <w:sz w:val="30"/>
          <w:szCs w:val="30"/>
        </w:rPr>
        <w:lastRenderedPageBreak/>
        <w:t>应要求开立账户</w:t>
      </w:r>
      <w:r w:rsidRPr="00CA3B3C">
        <w:rPr>
          <w:rFonts w:ascii="Calibri" w:eastAsia="仿宋_GB2312" w:hAnsi="宋体" w:cs="宋体" w:hint="eastAsia"/>
          <w:color w:val="333333"/>
          <w:kern w:val="0"/>
          <w:sz w:val="30"/>
          <w:szCs w:val="30"/>
        </w:rPr>
        <w:t>后，可</w:t>
      </w:r>
      <w:r w:rsidRPr="00CA3B3C">
        <w:rPr>
          <w:rFonts w:ascii="仿宋_GB2312" w:eastAsia="仿宋_GB2312" w:hAnsi="宋体" w:cs="宋体" w:hint="eastAsia"/>
          <w:color w:val="333333"/>
          <w:kern w:val="0"/>
          <w:sz w:val="30"/>
          <w:szCs w:val="30"/>
        </w:rPr>
        <w:t>在注册登记系统中进行配额管理的相关业务操作。</w:t>
      </w:r>
    </w:p>
    <w:p w:rsidR="00CA3B3C" w:rsidRPr="00CA3B3C" w:rsidRDefault="00CA3B3C" w:rsidP="00A36A6A">
      <w:pPr>
        <w:widowControl/>
        <w:snapToGrid w:val="0"/>
        <w:spacing w:line="600" w:lineRule="atLeast"/>
        <w:jc w:val="center"/>
        <w:outlineLvl w:val="0"/>
        <w:rPr>
          <w:rFonts w:ascii="宋体" w:eastAsia="宋体" w:hAnsi="宋体" w:cs="宋体"/>
          <w:color w:val="333333"/>
          <w:kern w:val="0"/>
          <w:sz w:val="24"/>
          <w:szCs w:val="24"/>
        </w:rPr>
      </w:pPr>
      <w:r w:rsidRPr="00CA3B3C">
        <w:rPr>
          <w:rFonts w:ascii="黑体" w:eastAsia="黑体" w:hAnsi="黑体" w:cs="黑体" w:hint="eastAsia"/>
          <w:color w:val="333333"/>
          <w:kern w:val="0"/>
          <w:sz w:val="30"/>
          <w:szCs w:val="30"/>
        </w:rPr>
        <w:t>第三章</w:t>
      </w:r>
      <w:r w:rsidRPr="00CA3B3C">
        <w:rPr>
          <w:rFonts w:ascii="黑体" w:eastAsia="黑体" w:hAnsi="黑体" w:cs="宋体" w:hint="eastAsia"/>
          <w:color w:val="333333"/>
          <w:kern w:val="0"/>
          <w:sz w:val="30"/>
          <w:szCs w:val="30"/>
        </w:rPr>
        <w:t>排放交易</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第十八条</w:t>
      </w:r>
      <w:r w:rsidRPr="00CA3B3C">
        <w:rPr>
          <w:rFonts w:ascii="仿宋_GB2312" w:eastAsia="仿宋_GB2312" w:hAnsi="宋体" w:cs="宋体" w:hint="eastAsia"/>
          <w:color w:val="333333"/>
          <w:kern w:val="0"/>
          <w:sz w:val="30"/>
          <w:szCs w:val="30"/>
        </w:rPr>
        <w:t>碳排放权交易市场初期的交易产品为排放配额和国家核证自愿减排量，适时增加其他交易产品。</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第十九条</w:t>
      </w:r>
      <w:r w:rsidRPr="00CA3B3C">
        <w:rPr>
          <w:rFonts w:ascii="仿宋_GB2312" w:eastAsia="仿宋_GB2312" w:hAnsi="宋体" w:cs="宋体" w:hint="eastAsia"/>
          <w:color w:val="333333"/>
          <w:kern w:val="0"/>
          <w:sz w:val="30"/>
          <w:szCs w:val="30"/>
        </w:rPr>
        <w:t>重点排放单位及符合交易规则规定的机构和个人（以下称交易主体），均可参与碳排放权交易。</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第二十条</w:t>
      </w:r>
      <w:r w:rsidRPr="00CA3B3C">
        <w:rPr>
          <w:rFonts w:ascii="仿宋_GB2312" w:eastAsia="仿宋_GB2312" w:hAnsi="宋体" w:cs="宋体" w:hint="eastAsia"/>
          <w:color w:val="333333"/>
          <w:kern w:val="0"/>
          <w:sz w:val="30"/>
          <w:szCs w:val="30"/>
        </w:rPr>
        <w:t>国务院碳交易主管部门负责确定碳排放权交易机构并对其业务实施监督。具体交易规则由交易机构负责制定，并报国务院碳交易主管部门备案。</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第二十一条</w:t>
      </w:r>
      <w:r w:rsidRPr="00CA3B3C">
        <w:rPr>
          <w:rFonts w:ascii="仿宋_GB2312" w:eastAsia="仿宋_GB2312" w:hAnsi="宋体" w:cs="宋体" w:hint="eastAsia"/>
          <w:color w:val="333333"/>
          <w:kern w:val="0"/>
          <w:sz w:val="30"/>
          <w:szCs w:val="30"/>
        </w:rPr>
        <w:t>第十八条规定的交易产品的交易原则上应在国务院碳交易主管部门确定的交易机构内进行。</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第二十二条</w:t>
      </w:r>
      <w:r w:rsidRPr="00CA3B3C">
        <w:rPr>
          <w:rFonts w:ascii="仿宋_GB2312" w:eastAsia="仿宋_GB2312" w:hAnsi="宋体" w:cs="宋体" w:hint="eastAsia"/>
          <w:color w:val="333333"/>
          <w:kern w:val="0"/>
          <w:sz w:val="30"/>
          <w:szCs w:val="30"/>
        </w:rPr>
        <w:t>出于公益等目的，交易主体可自愿注销其所持有的排放配额和国家核证自愿减排量。</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第二十三条</w:t>
      </w:r>
      <w:r w:rsidRPr="00CA3B3C">
        <w:rPr>
          <w:rFonts w:ascii="仿宋_GB2312" w:eastAsia="仿宋_GB2312" w:hAnsi="宋体" w:cs="宋体" w:hint="eastAsia"/>
          <w:color w:val="333333"/>
          <w:kern w:val="0"/>
          <w:sz w:val="30"/>
          <w:szCs w:val="30"/>
        </w:rPr>
        <w:t>国务院碳交易主管部门负责建立碳排放权交易市场调节机制，维护市场稳定。</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第二十四条</w:t>
      </w:r>
      <w:r w:rsidRPr="00CA3B3C">
        <w:rPr>
          <w:rFonts w:ascii="仿宋_GB2312" w:eastAsia="仿宋_GB2312" w:hAnsi="宋体" w:cs="宋体" w:hint="eastAsia"/>
          <w:color w:val="333333"/>
          <w:kern w:val="0"/>
          <w:sz w:val="30"/>
          <w:szCs w:val="30"/>
        </w:rPr>
        <w:t>国家确定的交易机构的交易系统应与注册登记系统连接，实现数据交换，确保交易信息能及时反映到注册登记系统中。</w:t>
      </w:r>
    </w:p>
    <w:p w:rsidR="00CA3B3C" w:rsidRPr="00CA3B3C" w:rsidRDefault="00CA3B3C" w:rsidP="00A36A6A">
      <w:pPr>
        <w:widowControl/>
        <w:snapToGrid w:val="0"/>
        <w:spacing w:line="600" w:lineRule="atLeast"/>
        <w:jc w:val="center"/>
        <w:outlineLvl w:val="0"/>
        <w:rPr>
          <w:rFonts w:ascii="宋体" w:eastAsia="宋体" w:hAnsi="宋体" w:cs="宋体"/>
          <w:color w:val="333333"/>
          <w:kern w:val="0"/>
          <w:sz w:val="24"/>
          <w:szCs w:val="24"/>
        </w:rPr>
      </w:pPr>
      <w:r w:rsidRPr="00CA3B3C">
        <w:rPr>
          <w:rFonts w:ascii="黑体" w:eastAsia="黑体" w:hAnsi="黑体" w:cs="黑体" w:hint="eastAsia"/>
          <w:color w:val="333333"/>
          <w:kern w:val="0"/>
          <w:sz w:val="30"/>
          <w:szCs w:val="30"/>
        </w:rPr>
        <w:t>第四章</w:t>
      </w:r>
      <w:r w:rsidRPr="00CA3B3C">
        <w:rPr>
          <w:rFonts w:ascii="黑体" w:eastAsia="黑体" w:hAnsi="黑体" w:cs="宋体" w:hint="eastAsia"/>
          <w:color w:val="333333"/>
          <w:kern w:val="0"/>
          <w:sz w:val="30"/>
          <w:szCs w:val="30"/>
        </w:rPr>
        <w:t>核查与配额清缴</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第二十五条</w:t>
      </w:r>
      <w:r w:rsidRPr="00CA3B3C">
        <w:rPr>
          <w:rFonts w:ascii="仿宋_GB2312" w:eastAsia="仿宋_GB2312" w:hAnsi="宋体" w:cs="宋体" w:hint="eastAsia"/>
          <w:color w:val="333333"/>
          <w:kern w:val="0"/>
          <w:sz w:val="30"/>
          <w:szCs w:val="30"/>
        </w:rPr>
        <w:t>重点排放单位应按照国家标准或国务院碳交易主管部门公布的企业温室气体排放核算与报告指南的要求，制定</w:t>
      </w:r>
      <w:r w:rsidRPr="00CA3B3C">
        <w:rPr>
          <w:rFonts w:ascii="仿宋_GB2312" w:eastAsia="仿宋_GB2312" w:hAnsi="宋体" w:cs="宋体" w:hint="eastAsia"/>
          <w:color w:val="333333"/>
          <w:kern w:val="0"/>
          <w:sz w:val="30"/>
          <w:szCs w:val="30"/>
        </w:rPr>
        <w:lastRenderedPageBreak/>
        <w:t>排放监测计划并报所在省、自治区、直辖市的省级碳交易主管部门备案。</w:t>
      </w:r>
    </w:p>
    <w:p w:rsidR="00CA3B3C" w:rsidRPr="00CA3B3C" w:rsidRDefault="00CA3B3C" w:rsidP="00A36A6A">
      <w:pPr>
        <w:widowControl/>
        <w:snapToGrid w:val="0"/>
        <w:spacing w:line="600" w:lineRule="atLeast"/>
        <w:ind w:firstLineChars="200" w:firstLine="600"/>
        <w:jc w:val="left"/>
        <w:rPr>
          <w:rFonts w:ascii="宋体" w:eastAsia="宋体" w:hAnsi="宋体" w:cs="宋体"/>
          <w:color w:val="333333"/>
          <w:kern w:val="0"/>
          <w:sz w:val="24"/>
          <w:szCs w:val="24"/>
        </w:rPr>
      </w:pPr>
      <w:r w:rsidRPr="00CA3B3C">
        <w:rPr>
          <w:rFonts w:ascii="仿宋_GB2312" w:eastAsia="仿宋_GB2312" w:hAnsi="宋体" w:cs="宋体" w:hint="eastAsia"/>
          <w:color w:val="333333"/>
          <w:kern w:val="0"/>
          <w:sz w:val="30"/>
          <w:szCs w:val="30"/>
        </w:rPr>
        <w:t>重点排放单位应严格按照经备案的监测计划实施监测活动。监测计划发生重大变更的，应及时向所在省、自治区、直辖市的省级碳交易主管部门提交变更申请。</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第二十六条</w:t>
      </w:r>
      <w:r w:rsidRPr="00CA3B3C">
        <w:rPr>
          <w:rFonts w:ascii="仿宋_GB2312" w:eastAsia="仿宋_GB2312" w:hAnsi="宋体" w:cs="宋体" w:hint="eastAsia"/>
          <w:color w:val="333333"/>
          <w:kern w:val="0"/>
          <w:sz w:val="30"/>
          <w:szCs w:val="30"/>
        </w:rPr>
        <w:t>重点排放单位应根据国家标准或国务院碳交易主管部门公布的企业温室气体排放核算与报告指南，以及经备案的排放监测计划，每年编制其上一年度的温室气体排放报告，由核查机构进行核查并出具核查报告后，在规定时间内向所在省、自治区、直辖市的省级碳交易主管部门提交排放报告和核查报告。</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第二十七条</w:t>
      </w:r>
      <w:r w:rsidRPr="00CA3B3C">
        <w:rPr>
          <w:rFonts w:ascii="仿宋_GB2312" w:eastAsia="仿宋_GB2312" w:hAnsi="宋体" w:cs="宋体" w:hint="eastAsia"/>
          <w:color w:val="333333"/>
          <w:kern w:val="0"/>
          <w:sz w:val="30"/>
          <w:szCs w:val="30"/>
        </w:rPr>
        <w:t>国务院碳交易主管部门会同有关部门，对核查机构进行管理。</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第二十八条</w:t>
      </w:r>
      <w:r w:rsidRPr="00CA3B3C">
        <w:rPr>
          <w:rFonts w:ascii="仿宋_GB2312" w:eastAsia="仿宋_GB2312" w:hAnsi="宋体" w:cs="宋体" w:hint="eastAsia"/>
          <w:color w:val="333333"/>
          <w:kern w:val="0"/>
          <w:sz w:val="30"/>
          <w:szCs w:val="30"/>
        </w:rPr>
        <w:t>核查机构应按照国务院碳交易主管部门公布的核查指南开展碳排放核查工作。重点排放单位对核查结果有异议的，可向省级碳交易主管部门提出申诉。</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第二十九条</w:t>
      </w:r>
      <w:r w:rsidRPr="00CA3B3C">
        <w:rPr>
          <w:rFonts w:ascii="仿宋_GB2312" w:eastAsia="仿宋_GB2312" w:hAnsi="宋体" w:cs="宋体" w:hint="eastAsia"/>
          <w:color w:val="333333"/>
          <w:kern w:val="0"/>
          <w:sz w:val="30"/>
          <w:szCs w:val="30"/>
        </w:rPr>
        <w:t>省级碳交易主管部门应当对以下重点排放单位的排放报告与核查报告进行复查，复查的相关费用由同级财政予以安排：</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宋体" w:hint="eastAsia"/>
          <w:color w:val="333333"/>
          <w:kern w:val="0"/>
          <w:sz w:val="30"/>
          <w:szCs w:val="30"/>
        </w:rPr>
        <w:t>（一）国务院碳交易主管部门要求复查的重点排放单位；</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宋体" w:hint="eastAsia"/>
          <w:color w:val="333333"/>
          <w:kern w:val="0"/>
          <w:sz w:val="30"/>
          <w:szCs w:val="30"/>
        </w:rPr>
        <w:t>（二）核查报告显示排放情况存在问题的重点排放单位；</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宋体" w:hint="eastAsia"/>
          <w:color w:val="333333"/>
          <w:kern w:val="0"/>
          <w:sz w:val="30"/>
          <w:szCs w:val="30"/>
        </w:rPr>
        <w:t>（三）除（一）、（二）规定以外一定比例的重点排放单位。</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第三十条</w:t>
      </w:r>
      <w:r w:rsidRPr="00CA3B3C">
        <w:rPr>
          <w:rFonts w:ascii="仿宋_GB2312" w:eastAsia="仿宋_GB2312" w:hAnsi="宋体" w:cs="宋体" w:hint="eastAsia"/>
          <w:color w:val="333333"/>
          <w:kern w:val="0"/>
          <w:sz w:val="30"/>
          <w:szCs w:val="30"/>
        </w:rPr>
        <w:t>省级碳交易主管部门应每年对其行政区域内所有重点排放单位上年度的排放量予以确认，并将确认结果通知重点</w:t>
      </w:r>
      <w:r w:rsidRPr="00CA3B3C">
        <w:rPr>
          <w:rFonts w:ascii="仿宋_GB2312" w:eastAsia="仿宋_GB2312" w:hAnsi="宋体" w:cs="宋体" w:hint="eastAsia"/>
          <w:color w:val="333333"/>
          <w:kern w:val="0"/>
          <w:sz w:val="30"/>
          <w:szCs w:val="30"/>
        </w:rPr>
        <w:lastRenderedPageBreak/>
        <w:t>排放单位。经确认的排放量是重点排放单位履行配额清缴义务的依据。</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第三十一条</w:t>
      </w:r>
      <w:r w:rsidRPr="00CA3B3C">
        <w:rPr>
          <w:rFonts w:ascii="仿宋_GB2312" w:eastAsia="仿宋_GB2312" w:hAnsi="宋体" w:cs="宋体" w:hint="eastAsia"/>
          <w:color w:val="333333"/>
          <w:kern w:val="0"/>
          <w:sz w:val="30"/>
          <w:szCs w:val="30"/>
        </w:rPr>
        <w:t>重点排放单位每年应向所在省、自治区、直辖市的省级碳交易主管部门提交不少于其上年度经确认排放量的排放配额，履行上年度的配额清缴义务。</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第三十二条</w:t>
      </w:r>
      <w:r w:rsidRPr="00CA3B3C">
        <w:rPr>
          <w:rFonts w:ascii="仿宋_GB2312" w:eastAsia="仿宋_GB2312" w:hAnsi="宋体" w:cs="宋体" w:hint="eastAsia"/>
          <w:color w:val="333333"/>
          <w:kern w:val="0"/>
          <w:sz w:val="30"/>
          <w:szCs w:val="30"/>
        </w:rPr>
        <w:t>重点排放单位可按照有关规定，使用国家核证自愿减排量抵消其部分经确认的碳排放量。</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第三十三条</w:t>
      </w:r>
      <w:r w:rsidRPr="00CA3B3C">
        <w:rPr>
          <w:rFonts w:ascii="仿宋_GB2312" w:eastAsia="仿宋_GB2312" w:hAnsi="宋体" w:cs="宋体" w:hint="eastAsia"/>
          <w:color w:val="333333"/>
          <w:kern w:val="0"/>
          <w:sz w:val="30"/>
          <w:szCs w:val="30"/>
        </w:rPr>
        <w:t>省级碳交易主管部门每年应对其行政区域内重点排放单位上年度的配额清缴情况进行分析，并将配额清缴情况上报国务院碳交易主管部门。国务院碳交易主管部门应向社会公布所有重点排放单位上年度的配额清缴情况。</w:t>
      </w:r>
    </w:p>
    <w:p w:rsidR="00CA3B3C" w:rsidRPr="00CA3B3C" w:rsidRDefault="00CA3B3C" w:rsidP="00A36A6A">
      <w:pPr>
        <w:widowControl/>
        <w:snapToGrid w:val="0"/>
        <w:spacing w:line="600" w:lineRule="atLeast"/>
        <w:jc w:val="center"/>
        <w:outlineLvl w:val="0"/>
        <w:rPr>
          <w:rFonts w:ascii="宋体" w:eastAsia="宋体" w:hAnsi="宋体" w:cs="宋体"/>
          <w:color w:val="333333"/>
          <w:kern w:val="0"/>
          <w:sz w:val="24"/>
          <w:szCs w:val="24"/>
        </w:rPr>
      </w:pPr>
      <w:r w:rsidRPr="00CA3B3C">
        <w:rPr>
          <w:rFonts w:ascii="黑体" w:eastAsia="黑体" w:hAnsi="黑体" w:cs="黑体" w:hint="eastAsia"/>
          <w:color w:val="333333"/>
          <w:kern w:val="0"/>
          <w:sz w:val="30"/>
          <w:szCs w:val="30"/>
        </w:rPr>
        <w:t>第五章</w:t>
      </w:r>
      <w:r w:rsidRPr="00CA3B3C">
        <w:rPr>
          <w:rFonts w:ascii="黑体" w:eastAsia="黑体" w:hAnsi="黑体" w:cs="宋体" w:hint="eastAsia"/>
          <w:color w:val="333333"/>
          <w:kern w:val="0"/>
          <w:sz w:val="30"/>
          <w:szCs w:val="30"/>
        </w:rPr>
        <w:t>监督管理</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第三十四条</w:t>
      </w:r>
      <w:r w:rsidRPr="00CA3B3C">
        <w:rPr>
          <w:rFonts w:ascii="仿宋_GB2312" w:eastAsia="仿宋_GB2312" w:hAnsi="宋体" w:cs="宋体" w:hint="eastAsia"/>
          <w:color w:val="333333"/>
          <w:kern w:val="0"/>
          <w:sz w:val="30"/>
          <w:szCs w:val="30"/>
        </w:rPr>
        <w:t>国务院碳交易主管部门应及时向社会公布如下信息：纳入温室气体种类，纳入行业，纳入重点排放单位名单，排放配额分配方法，排放配额使用、存储和注销规则，各年度重点排放单位的配额清缴情况，推荐的核查机构名单，经确定的交易机构名单等。</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第三十五条</w:t>
      </w:r>
      <w:r w:rsidRPr="00CA3B3C">
        <w:rPr>
          <w:rFonts w:ascii="仿宋_GB2312" w:eastAsia="仿宋_GB2312" w:hAnsi="宋体" w:cs="宋体" w:hint="eastAsia"/>
          <w:color w:val="333333"/>
          <w:kern w:val="0"/>
          <w:sz w:val="30"/>
          <w:szCs w:val="30"/>
        </w:rPr>
        <w:t>交易机构应建立交易信息披露制度，公布交易行情、成交量、成交金额等交易信息，并及时披露可能影响市场重大变动的相关信息。</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第三十六条</w:t>
      </w:r>
      <w:r w:rsidRPr="00CA3B3C">
        <w:rPr>
          <w:rFonts w:ascii="仿宋_GB2312" w:eastAsia="仿宋_GB2312" w:hAnsi="宋体" w:cs="宋体" w:hint="eastAsia"/>
          <w:color w:val="333333"/>
          <w:kern w:val="0"/>
          <w:sz w:val="30"/>
          <w:szCs w:val="30"/>
        </w:rPr>
        <w:t>国务院碳交易主管部门对省级碳交易主管部门业务工作进行指导，并对下列活动进行监督和管理：</w:t>
      </w:r>
    </w:p>
    <w:p w:rsidR="00CA3B3C" w:rsidRPr="00CA3B3C" w:rsidRDefault="00CA3B3C" w:rsidP="00A36A6A">
      <w:pPr>
        <w:widowControl/>
        <w:tabs>
          <w:tab w:val="num" w:pos="1720"/>
        </w:tabs>
        <w:snapToGrid w:val="0"/>
        <w:spacing w:line="600" w:lineRule="atLeast"/>
        <w:ind w:left="1720" w:hanging="108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（一）</w:t>
      </w:r>
      <w:r w:rsidRPr="00CA3B3C">
        <w:rPr>
          <w:rFonts w:ascii="仿宋_GB2312" w:eastAsia="仿宋_GB2312" w:hAnsi="宋体" w:cs="宋体" w:hint="eastAsia"/>
          <w:color w:val="333333"/>
          <w:kern w:val="0"/>
          <w:sz w:val="30"/>
          <w:szCs w:val="30"/>
        </w:rPr>
        <w:t>核查机构的相关业务情况；</w:t>
      </w:r>
    </w:p>
    <w:p w:rsidR="00CA3B3C" w:rsidRPr="00CA3B3C" w:rsidRDefault="00CA3B3C" w:rsidP="00A36A6A">
      <w:pPr>
        <w:widowControl/>
        <w:tabs>
          <w:tab w:val="num" w:pos="1720"/>
        </w:tabs>
        <w:snapToGrid w:val="0"/>
        <w:spacing w:line="600" w:lineRule="atLeast"/>
        <w:ind w:left="1720" w:hanging="108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lastRenderedPageBreak/>
        <w:t>（二）</w:t>
      </w:r>
      <w:r w:rsidRPr="00CA3B3C">
        <w:rPr>
          <w:rFonts w:ascii="仿宋_GB2312" w:eastAsia="仿宋_GB2312" w:hAnsi="宋体" w:cs="宋体" w:hint="eastAsia"/>
          <w:color w:val="333333"/>
          <w:kern w:val="0"/>
          <w:sz w:val="30"/>
          <w:szCs w:val="30"/>
        </w:rPr>
        <w:t>交易机构的相关业务情况；</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第三十七条</w:t>
      </w:r>
      <w:r w:rsidRPr="00CA3B3C">
        <w:rPr>
          <w:rFonts w:ascii="仿宋_GB2312" w:eastAsia="仿宋_GB2312" w:hAnsi="宋体" w:cs="宋体" w:hint="eastAsia"/>
          <w:color w:val="333333"/>
          <w:kern w:val="0"/>
          <w:sz w:val="30"/>
          <w:szCs w:val="30"/>
        </w:rPr>
        <w:t>省级碳交易主管部门对碳排放权交易进行监督和管理的范围包括：</w:t>
      </w:r>
    </w:p>
    <w:p w:rsidR="00CA3B3C" w:rsidRPr="00CA3B3C" w:rsidRDefault="00CA3B3C" w:rsidP="00A36A6A">
      <w:pPr>
        <w:widowControl/>
        <w:tabs>
          <w:tab w:val="num" w:pos="0"/>
        </w:tabs>
        <w:snapToGrid w:val="0"/>
        <w:spacing w:line="600" w:lineRule="atLeast"/>
        <w:ind w:firstLine="64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（一）</w:t>
      </w:r>
      <w:r w:rsidRPr="00CA3B3C">
        <w:rPr>
          <w:rFonts w:ascii="仿宋_GB2312" w:eastAsia="仿宋_GB2312" w:hAnsi="宋体" w:cs="宋体" w:hint="eastAsia"/>
          <w:color w:val="333333"/>
          <w:kern w:val="0"/>
          <w:sz w:val="30"/>
          <w:szCs w:val="30"/>
        </w:rPr>
        <w:t>辖区内重点排放单位的排放报告、核查报告报送情况；</w:t>
      </w:r>
    </w:p>
    <w:p w:rsidR="00CA3B3C" w:rsidRPr="00CA3B3C" w:rsidRDefault="00CA3B3C" w:rsidP="00A36A6A">
      <w:pPr>
        <w:widowControl/>
        <w:tabs>
          <w:tab w:val="num" w:pos="1720"/>
        </w:tabs>
        <w:snapToGrid w:val="0"/>
        <w:spacing w:line="600" w:lineRule="atLeast"/>
        <w:ind w:left="1720" w:hanging="108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（二）</w:t>
      </w:r>
      <w:r w:rsidRPr="00CA3B3C">
        <w:rPr>
          <w:rFonts w:ascii="仿宋_GB2312" w:eastAsia="仿宋_GB2312" w:hAnsi="宋体" w:cs="宋体" w:hint="eastAsia"/>
          <w:color w:val="333333"/>
          <w:kern w:val="0"/>
          <w:sz w:val="30"/>
          <w:szCs w:val="30"/>
        </w:rPr>
        <w:t>辖区内重点排放单位的配额清缴情况；</w:t>
      </w:r>
    </w:p>
    <w:p w:rsidR="00CA3B3C" w:rsidRPr="00CA3B3C" w:rsidRDefault="00CA3B3C" w:rsidP="00A36A6A">
      <w:pPr>
        <w:widowControl/>
        <w:tabs>
          <w:tab w:val="num" w:pos="1720"/>
        </w:tabs>
        <w:snapToGrid w:val="0"/>
        <w:spacing w:line="600" w:lineRule="atLeast"/>
        <w:ind w:left="1720" w:hanging="108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（三）</w:t>
      </w:r>
      <w:r w:rsidRPr="00CA3B3C">
        <w:rPr>
          <w:rFonts w:ascii="仿宋_GB2312" w:eastAsia="仿宋_GB2312" w:hAnsi="宋体" w:cs="宋体" w:hint="eastAsia"/>
          <w:color w:val="333333"/>
          <w:kern w:val="0"/>
          <w:sz w:val="30"/>
          <w:szCs w:val="30"/>
        </w:rPr>
        <w:t>辖区内重点排放单位和其它市场参与者的交易情况。</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第三十八条</w:t>
      </w:r>
      <w:r w:rsidRPr="00CA3B3C">
        <w:rPr>
          <w:rFonts w:ascii="仿宋_GB2312" w:eastAsia="仿宋_GB2312" w:hAnsi="宋体" w:cs="宋体" w:hint="eastAsia"/>
          <w:color w:val="333333"/>
          <w:kern w:val="0"/>
          <w:sz w:val="30"/>
          <w:szCs w:val="30"/>
        </w:rPr>
        <w:t>国务院碳交易主管部门和省级碳交易主管部门应建立重点排放单位、核查机构、交易机构和其它从业单位和人员参加碳排放交易的相关行为信用记录，并纳入相关的信用管理体系。</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第三十九条</w:t>
      </w:r>
      <w:r w:rsidRPr="00CA3B3C">
        <w:rPr>
          <w:rFonts w:ascii="仿宋_GB2312" w:eastAsia="仿宋_GB2312" w:hAnsi="宋体" w:cs="宋体" w:hint="eastAsia"/>
          <w:color w:val="333333"/>
          <w:kern w:val="0"/>
          <w:sz w:val="30"/>
          <w:szCs w:val="30"/>
        </w:rPr>
        <w:t>对于严重违法失信的碳排放权交易的参与机构和人员，国务院碳交易主管部门建立“黑名单”并依法予以曝光。</w:t>
      </w:r>
    </w:p>
    <w:p w:rsidR="00CA3B3C" w:rsidRPr="00CA3B3C" w:rsidRDefault="00CA3B3C" w:rsidP="00A36A6A">
      <w:pPr>
        <w:widowControl/>
        <w:snapToGrid w:val="0"/>
        <w:spacing w:line="600" w:lineRule="atLeast"/>
        <w:jc w:val="center"/>
        <w:outlineLvl w:val="0"/>
        <w:rPr>
          <w:rFonts w:ascii="宋体" w:eastAsia="宋体" w:hAnsi="宋体" w:cs="宋体"/>
          <w:color w:val="333333"/>
          <w:kern w:val="0"/>
          <w:sz w:val="24"/>
          <w:szCs w:val="24"/>
        </w:rPr>
      </w:pPr>
      <w:r w:rsidRPr="00CA3B3C">
        <w:rPr>
          <w:rFonts w:ascii="黑体" w:eastAsia="黑体" w:hAnsi="黑体" w:cs="黑体" w:hint="eastAsia"/>
          <w:color w:val="333333"/>
          <w:kern w:val="0"/>
          <w:sz w:val="30"/>
          <w:szCs w:val="30"/>
        </w:rPr>
        <w:t>第六章</w:t>
      </w:r>
      <w:r w:rsidRPr="00CA3B3C">
        <w:rPr>
          <w:rFonts w:ascii="黑体" w:eastAsia="黑体" w:hAnsi="黑体" w:cs="宋体" w:hint="eastAsia"/>
          <w:color w:val="333333"/>
          <w:kern w:val="0"/>
          <w:sz w:val="30"/>
          <w:szCs w:val="30"/>
        </w:rPr>
        <w:t>法律责任</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第四十条</w:t>
      </w:r>
      <w:r w:rsidRPr="00CA3B3C">
        <w:rPr>
          <w:rFonts w:ascii="仿宋_GB2312" w:eastAsia="仿宋_GB2312" w:hAnsi="宋体" w:cs="宋体" w:hint="eastAsia"/>
          <w:color w:val="333333"/>
          <w:kern w:val="0"/>
          <w:sz w:val="30"/>
          <w:szCs w:val="30"/>
        </w:rPr>
        <w:t xml:space="preserve">重点排放单位有下列行为之一的，由所在省、自治区、直辖市的省级碳交易主管部门责令限期改正，逾期未改的，依法给予行政处罚。 </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宋体" w:hint="eastAsia"/>
          <w:color w:val="333333"/>
          <w:kern w:val="0"/>
          <w:sz w:val="30"/>
          <w:szCs w:val="30"/>
        </w:rPr>
        <w:t>（一）虚报、瞒报或者拒绝履行排放报告义务；</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宋体" w:hint="eastAsia"/>
          <w:color w:val="333333"/>
          <w:kern w:val="0"/>
          <w:sz w:val="30"/>
          <w:szCs w:val="30"/>
        </w:rPr>
        <w:t>（二）不按规定提交核查报告。</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宋体" w:hint="eastAsia"/>
          <w:color w:val="333333"/>
          <w:kern w:val="0"/>
          <w:sz w:val="30"/>
          <w:szCs w:val="30"/>
        </w:rPr>
        <w:t>逾期仍未改正的，由省级碳交易主管部门指派核查机构测算其排放量，并将该排放量作为其履行配额清缴义务的依据。</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第四十一条</w:t>
      </w:r>
      <w:r w:rsidRPr="00CA3B3C">
        <w:rPr>
          <w:rFonts w:ascii="仿宋_GB2312" w:eastAsia="仿宋_GB2312" w:hAnsi="宋体" w:cs="宋体" w:hint="eastAsia"/>
          <w:color w:val="333333"/>
          <w:kern w:val="0"/>
          <w:sz w:val="30"/>
          <w:szCs w:val="30"/>
        </w:rPr>
        <w:t>重点排放单位未按时履行配额清缴义务的，由所在省、自治区、直辖市的省级碳交易主管部门责令其履行配额清</w:t>
      </w:r>
      <w:r w:rsidRPr="00CA3B3C">
        <w:rPr>
          <w:rFonts w:ascii="仿宋_GB2312" w:eastAsia="仿宋_GB2312" w:hAnsi="宋体" w:cs="宋体" w:hint="eastAsia"/>
          <w:color w:val="333333"/>
          <w:kern w:val="0"/>
          <w:sz w:val="30"/>
          <w:szCs w:val="30"/>
        </w:rPr>
        <w:lastRenderedPageBreak/>
        <w:t>缴义务；逾期仍不履行配额清缴义务的，由所在省、自治区、直辖市的省级碳交易主管部门依法给予行政处罚。</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第四十二条</w:t>
      </w:r>
      <w:r w:rsidRPr="00CA3B3C">
        <w:rPr>
          <w:rFonts w:ascii="仿宋_GB2312" w:eastAsia="仿宋_GB2312" w:hAnsi="宋体" w:cs="宋体" w:hint="eastAsia"/>
          <w:color w:val="333333"/>
          <w:kern w:val="0"/>
          <w:sz w:val="30"/>
          <w:szCs w:val="30"/>
        </w:rPr>
        <w:t>核查机构有下列情形之一的，由其注册所在省、自治区、直辖市的省级碳交易主管部门依法给予行政处罚，并上报国务院碳交易主管部门；情节严重的，由国务院碳交易主管部门责令其暂停核查业务；给重点排放单位造成经济损失的，依法承担赔偿责任；构成犯罪的，依法追究刑事责任。</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宋体" w:hint="eastAsia"/>
          <w:color w:val="333333"/>
          <w:kern w:val="0"/>
          <w:sz w:val="30"/>
          <w:szCs w:val="30"/>
        </w:rPr>
        <w:t>（一）出具虚假、不实核查报告；</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宋体" w:hint="eastAsia"/>
          <w:color w:val="333333"/>
          <w:kern w:val="0"/>
          <w:sz w:val="30"/>
          <w:szCs w:val="30"/>
        </w:rPr>
        <w:t>（二）核查报告存在重大错误；</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宋体" w:hint="eastAsia"/>
          <w:color w:val="333333"/>
          <w:kern w:val="0"/>
          <w:sz w:val="30"/>
          <w:szCs w:val="30"/>
        </w:rPr>
        <w:t>（三）未经许可擅自使用或者公布被核查单位的商业秘密；</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宋体" w:hint="eastAsia"/>
          <w:color w:val="333333"/>
          <w:kern w:val="0"/>
          <w:sz w:val="30"/>
          <w:szCs w:val="30"/>
        </w:rPr>
        <w:t>（四）其他违法违规行为。</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第四十三条</w:t>
      </w:r>
      <w:r w:rsidRPr="00CA3B3C">
        <w:rPr>
          <w:rFonts w:ascii="仿宋_GB2312" w:eastAsia="仿宋_GB2312" w:hAnsi="宋体" w:cs="宋体" w:hint="eastAsia"/>
          <w:color w:val="333333"/>
          <w:kern w:val="0"/>
          <w:sz w:val="30"/>
          <w:szCs w:val="30"/>
        </w:rPr>
        <w:t>交易机构及其工作人员有下列情形之一的，由国务院碳交易主管部门责令限期改正；逾期未改正的，依法给予行政处罚；给交易主体造成经济损失的，依法承担赔偿责任；构成犯罪的，依法追究刑事责任。</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宋体" w:hint="eastAsia"/>
          <w:color w:val="333333"/>
          <w:kern w:val="0"/>
          <w:sz w:val="30"/>
          <w:szCs w:val="30"/>
        </w:rPr>
        <w:t>（一）未按照规定公布交易信息；</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宋体" w:hint="eastAsia"/>
          <w:color w:val="333333"/>
          <w:kern w:val="0"/>
          <w:sz w:val="30"/>
          <w:szCs w:val="30"/>
        </w:rPr>
        <w:t>（二）未建立并执行风险管理制度；</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宋体" w:hint="eastAsia"/>
          <w:color w:val="333333"/>
          <w:kern w:val="0"/>
          <w:sz w:val="30"/>
          <w:szCs w:val="30"/>
        </w:rPr>
        <w:t>（三）未按照规定向国务院碳交易主管部门报送有关信息；</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宋体" w:hint="eastAsia"/>
          <w:color w:val="333333"/>
          <w:kern w:val="0"/>
          <w:sz w:val="30"/>
          <w:szCs w:val="30"/>
        </w:rPr>
        <w:t>（四）开展违规的交易业务；</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宋体" w:hint="eastAsia"/>
          <w:color w:val="333333"/>
          <w:kern w:val="0"/>
          <w:sz w:val="30"/>
          <w:szCs w:val="30"/>
        </w:rPr>
        <w:t>（五）泄露交易主体的商业秘密；</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宋体" w:hint="eastAsia"/>
          <w:color w:val="333333"/>
          <w:kern w:val="0"/>
          <w:sz w:val="30"/>
          <w:szCs w:val="30"/>
        </w:rPr>
        <w:t>（六）其他违法违规行为。</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lastRenderedPageBreak/>
        <w:t>第四十四条</w:t>
      </w:r>
      <w:r w:rsidRPr="00CA3B3C">
        <w:rPr>
          <w:rFonts w:ascii="仿宋_GB2312" w:eastAsia="仿宋_GB2312" w:hAnsi="宋体" w:cs="宋体" w:hint="eastAsia"/>
          <w:color w:val="333333"/>
          <w:kern w:val="0"/>
          <w:sz w:val="30"/>
          <w:szCs w:val="30"/>
        </w:rPr>
        <w:t>对违反本办法第四十条至第四十一条规定而被处罚的重点排放单位，省级碳交易主管部门应向工商、税务、金融等部门通报有关情况，并予以公告。</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第四十五条</w:t>
      </w:r>
      <w:r w:rsidRPr="00CA3B3C">
        <w:rPr>
          <w:rFonts w:ascii="仿宋_GB2312" w:eastAsia="仿宋_GB2312" w:hAnsi="宋体" w:cs="宋体" w:hint="eastAsia"/>
          <w:color w:val="333333"/>
          <w:kern w:val="0"/>
          <w:sz w:val="30"/>
          <w:szCs w:val="30"/>
        </w:rPr>
        <w:t>国务院碳交易主管部门和省级碳交易主管部门及其工作人员，未履行本办法规定的职责，玩忽职守、滥用职权、利用职务便利牟取不正当利益或者泄露所知悉的有关单位和个人的商业秘密的，由其上级行政机关或者监察机关责令改正；情节严重的，依法给予行政处罚；构成犯罪的，依法追究刑事责任。</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第四十六条</w:t>
      </w:r>
      <w:r w:rsidRPr="00CA3B3C">
        <w:rPr>
          <w:rFonts w:ascii="仿宋_GB2312" w:eastAsia="仿宋_GB2312" w:hAnsi="宋体" w:cs="宋体" w:hint="eastAsia"/>
          <w:color w:val="333333"/>
          <w:kern w:val="0"/>
          <w:sz w:val="30"/>
          <w:szCs w:val="30"/>
        </w:rPr>
        <w:t>碳排放权交易各参与方在参与本办法规定的事务过程中，以不正当手段谋取利益并给他人造成经济损失的，依法承担赔偿责任；构成犯罪的，依法追究刑事责任。</w:t>
      </w:r>
    </w:p>
    <w:p w:rsidR="00CA3B3C" w:rsidRPr="00CA3B3C" w:rsidRDefault="00CA3B3C" w:rsidP="00A36A6A">
      <w:pPr>
        <w:widowControl/>
        <w:snapToGrid w:val="0"/>
        <w:spacing w:line="600" w:lineRule="atLeast"/>
        <w:jc w:val="center"/>
        <w:outlineLvl w:val="0"/>
        <w:rPr>
          <w:rFonts w:ascii="宋体" w:eastAsia="宋体" w:hAnsi="宋体" w:cs="宋体"/>
          <w:color w:val="333333"/>
          <w:kern w:val="0"/>
          <w:sz w:val="24"/>
          <w:szCs w:val="24"/>
        </w:rPr>
      </w:pPr>
      <w:r w:rsidRPr="00CA3B3C">
        <w:rPr>
          <w:rFonts w:ascii="黑体" w:eastAsia="黑体" w:hAnsi="黑体" w:cs="黑体" w:hint="eastAsia"/>
          <w:color w:val="333333"/>
          <w:kern w:val="0"/>
          <w:sz w:val="30"/>
          <w:szCs w:val="30"/>
        </w:rPr>
        <w:t>第七章</w:t>
      </w:r>
      <w:r w:rsidRPr="00CA3B3C">
        <w:rPr>
          <w:rFonts w:ascii="黑体" w:eastAsia="黑体" w:hAnsi="黑体" w:cs="宋体" w:hint="eastAsia"/>
          <w:color w:val="333333"/>
          <w:kern w:val="0"/>
          <w:sz w:val="30"/>
          <w:szCs w:val="30"/>
        </w:rPr>
        <w:t>附则</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第四十七条</w:t>
      </w:r>
      <w:r w:rsidRPr="00CA3B3C">
        <w:rPr>
          <w:rFonts w:ascii="仿宋_GB2312" w:eastAsia="仿宋_GB2312" w:hAnsi="宋体" w:cs="宋体" w:hint="eastAsia"/>
          <w:color w:val="333333"/>
          <w:kern w:val="0"/>
          <w:sz w:val="30"/>
          <w:szCs w:val="30"/>
        </w:rPr>
        <w:t>本办法中下列用语的含义：</w:t>
      </w:r>
    </w:p>
    <w:p w:rsidR="00CA3B3C" w:rsidRPr="00CA3B3C" w:rsidRDefault="00CA3B3C" w:rsidP="00A36A6A">
      <w:pPr>
        <w:widowControl/>
        <w:snapToGrid w:val="0"/>
        <w:spacing w:line="600" w:lineRule="atLeast"/>
        <w:ind w:firstLineChars="200" w:firstLine="600"/>
        <w:jc w:val="left"/>
        <w:rPr>
          <w:rFonts w:ascii="宋体" w:eastAsia="宋体" w:hAnsi="宋体" w:cs="宋体"/>
          <w:color w:val="333333"/>
          <w:kern w:val="0"/>
          <w:sz w:val="24"/>
          <w:szCs w:val="24"/>
        </w:rPr>
      </w:pPr>
      <w:r w:rsidRPr="00CA3B3C">
        <w:rPr>
          <w:rFonts w:ascii="仿宋_GB2312" w:eastAsia="仿宋_GB2312" w:hAnsi="宋体" w:cs="宋体" w:hint="eastAsia"/>
          <w:color w:val="333333"/>
          <w:kern w:val="0"/>
          <w:sz w:val="30"/>
          <w:szCs w:val="30"/>
        </w:rPr>
        <w:t>温室气体：是指大气中吸收和重新放出红外辐射的自然和人为的气态成分，包括二氧化碳（CO</w:t>
      </w:r>
      <w:r w:rsidRPr="00CA3B3C">
        <w:rPr>
          <w:rFonts w:ascii="仿宋_GB2312" w:eastAsia="仿宋_GB2312" w:hAnsi="宋体" w:cs="宋体" w:hint="eastAsia"/>
          <w:color w:val="333333"/>
          <w:kern w:val="0"/>
          <w:sz w:val="30"/>
          <w:szCs w:val="30"/>
          <w:vertAlign w:val="subscript"/>
        </w:rPr>
        <w:t>2</w:t>
      </w:r>
      <w:r w:rsidRPr="00CA3B3C">
        <w:rPr>
          <w:rFonts w:ascii="仿宋_GB2312" w:eastAsia="仿宋_GB2312" w:hAnsi="宋体" w:cs="宋体" w:hint="eastAsia"/>
          <w:color w:val="333333"/>
          <w:kern w:val="0"/>
          <w:sz w:val="30"/>
          <w:szCs w:val="30"/>
        </w:rPr>
        <w:t>）、甲烷（CH</w:t>
      </w:r>
      <w:r w:rsidRPr="00CA3B3C">
        <w:rPr>
          <w:rFonts w:ascii="仿宋_GB2312" w:eastAsia="仿宋_GB2312" w:hAnsi="宋体" w:cs="宋体" w:hint="eastAsia"/>
          <w:color w:val="333333"/>
          <w:kern w:val="0"/>
          <w:sz w:val="30"/>
          <w:szCs w:val="30"/>
          <w:vertAlign w:val="subscript"/>
        </w:rPr>
        <w:t>4</w:t>
      </w:r>
      <w:r w:rsidRPr="00CA3B3C">
        <w:rPr>
          <w:rFonts w:ascii="仿宋_GB2312" w:eastAsia="仿宋_GB2312" w:hAnsi="宋体" w:cs="宋体" w:hint="eastAsia"/>
          <w:color w:val="333333"/>
          <w:kern w:val="0"/>
          <w:sz w:val="30"/>
          <w:szCs w:val="30"/>
        </w:rPr>
        <w:t>）、氧化亚氮（N</w:t>
      </w:r>
      <w:r w:rsidRPr="00CA3B3C">
        <w:rPr>
          <w:rFonts w:ascii="仿宋_GB2312" w:eastAsia="仿宋_GB2312" w:hAnsi="宋体" w:cs="宋体" w:hint="eastAsia"/>
          <w:color w:val="333333"/>
          <w:kern w:val="0"/>
          <w:sz w:val="30"/>
          <w:szCs w:val="30"/>
          <w:vertAlign w:val="subscript"/>
        </w:rPr>
        <w:t>2</w:t>
      </w:r>
      <w:r w:rsidRPr="00CA3B3C">
        <w:rPr>
          <w:rFonts w:ascii="仿宋_GB2312" w:eastAsia="仿宋_GB2312" w:hAnsi="宋体" w:cs="宋体" w:hint="eastAsia"/>
          <w:color w:val="333333"/>
          <w:kern w:val="0"/>
          <w:sz w:val="30"/>
          <w:szCs w:val="30"/>
        </w:rPr>
        <w:t>O）、氢氟碳化物（HFCs）、全氟化碳（PFCs）、六氟化硫（SF</w:t>
      </w:r>
      <w:r w:rsidRPr="00CA3B3C">
        <w:rPr>
          <w:rFonts w:ascii="仿宋_GB2312" w:eastAsia="仿宋_GB2312" w:hAnsi="宋体" w:cs="宋体" w:hint="eastAsia"/>
          <w:color w:val="333333"/>
          <w:kern w:val="0"/>
          <w:sz w:val="30"/>
          <w:szCs w:val="30"/>
          <w:vertAlign w:val="subscript"/>
        </w:rPr>
        <w:t>6</w:t>
      </w:r>
      <w:r w:rsidRPr="00CA3B3C">
        <w:rPr>
          <w:rFonts w:ascii="仿宋_GB2312" w:eastAsia="仿宋_GB2312" w:hAnsi="宋体" w:cs="宋体" w:hint="eastAsia"/>
          <w:color w:val="333333"/>
          <w:kern w:val="0"/>
          <w:sz w:val="30"/>
          <w:szCs w:val="30"/>
        </w:rPr>
        <w:t>）和三氟化氮（NF</w:t>
      </w:r>
      <w:r w:rsidRPr="00CA3B3C">
        <w:rPr>
          <w:rFonts w:ascii="仿宋_GB2312" w:eastAsia="仿宋_GB2312" w:hAnsi="宋体" w:cs="宋体" w:hint="eastAsia"/>
          <w:color w:val="333333"/>
          <w:kern w:val="0"/>
          <w:sz w:val="30"/>
          <w:szCs w:val="30"/>
          <w:vertAlign w:val="subscript"/>
        </w:rPr>
        <w:t>3</w:t>
      </w:r>
      <w:r w:rsidRPr="00CA3B3C">
        <w:rPr>
          <w:rFonts w:ascii="仿宋_GB2312" w:eastAsia="仿宋_GB2312" w:hAnsi="宋体" w:cs="宋体" w:hint="eastAsia"/>
          <w:color w:val="333333"/>
          <w:kern w:val="0"/>
          <w:sz w:val="30"/>
          <w:szCs w:val="30"/>
        </w:rPr>
        <w:t>）。</w:t>
      </w:r>
    </w:p>
    <w:p w:rsidR="00CA3B3C" w:rsidRPr="00CA3B3C" w:rsidRDefault="00CA3B3C" w:rsidP="00A36A6A">
      <w:pPr>
        <w:widowControl/>
        <w:snapToGrid w:val="0"/>
        <w:spacing w:line="600" w:lineRule="atLeast"/>
        <w:ind w:firstLineChars="200" w:firstLine="600"/>
        <w:jc w:val="left"/>
        <w:rPr>
          <w:rFonts w:ascii="宋体" w:eastAsia="宋体" w:hAnsi="宋体" w:cs="宋体"/>
          <w:color w:val="333333"/>
          <w:kern w:val="0"/>
          <w:sz w:val="24"/>
          <w:szCs w:val="24"/>
        </w:rPr>
      </w:pPr>
      <w:r w:rsidRPr="00CA3B3C">
        <w:rPr>
          <w:rFonts w:ascii="仿宋_GB2312" w:eastAsia="仿宋_GB2312" w:hAnsi="宋体" w:cs="宋体" w:hint="eastAsia"/>
          <w:color w:val="333333"/>
          <w:kern w:val="0"/>
          <w:sz w:val="30"/>
          <w:szCs w:val="30"/>
        </w:rPr>
        <w:t>碳排放：是指煤炭、天然气、石油等化石能源燃烧活动和工业生产过程以及土地利用、土地利用变化与林业活动产生的温室气体排放，以及因使用外购的电力和热力等所导致的温室气体排放。</w:t>
      </w:r>
    </w:p>
    <w:p w:rsidR="00CA3B3C" w:rsidRPr="00CA3B3C" w:rsidRDefault="00CA3B3C" w:rsidP="00A36A6A">
      <w:pPr>
        <w:widowControl/>
        <w:snapToGrid w:val="0"/>
        <w:spacing w:line="600" w:lineRule="atLeast"/>
        <w:ind w:firstLineChars="200" w:firstLine="600"/>
        <w:jc w:val="left"/>
        <w:rPr>
          <w:rFonts w:ascii="宋体" w:eastAsia="宋体" w:hAnsi="宋体" w:cs="宋体"/>
          <w:color w:val="333333"/>
          <w:kern w:val="0"/>
          <w:sz w:val="24"/>
          <w:szCs w:val="24"/>
        </w:rPr>
      </w:pPr>
      <w:r w:rsidRPr="00CA3B3C">
        <w:rPr>
          <w:rFonts w:ascii="仿宋_GB2312" w:eastAsia="仿宋_GB2312" w:hAnsi="宋体" w:cs="宋体" w:hint="eastAsia"/>
          <w:color w:val="333333"/>
          <w:kern w:val="0"/>
          <w:sz w:val="30"/>
          <w:szCs w:val="30"/>
        </w:rPr>
        <w:t>碳排放权：是指依法取得的向大气排放温室气体的权利。</w:t>
      </w:r>
    </w:p>
    <w:p w:rsidR="00CA3B3C" w:rsidRPr="00CA3B3C" w:rsidRDefault="00CA3B3C" w:rsidP="00A36A6A">
      <w:pPr>
        <w:widowControl/>
        <w:snapToGrid w:val="0"/>
        <w:spacing w:line="600" w:lineRule="atLeast"/>
        <w:ind w:firstLineChars="200" w:firstLine="600"/>
        <w:jc w:val="left"/>
        <w:rPr>
          <w:rFonts w:ascii="宋体" w:eastAsia="宋体" w:hAnsi="宋体" w:cs="宋体"/>
          <w:color w:val="333333"/>
          <w:kern w:val="0"/>
          <w:sz w:val="24"/>
          <w:szCs w:val="24"/>
        </w:rPr>
      </w:pPr>
      <w:r w:rsidRPr="00CA3B3C">
        <w:rPr>
          <w:rFonts w:ascii="仿宋_GB2312" w:eastAsia="仿宋_GB2312" w:hAnsi="宋体" w:cs="宋体" w:hint="eastAsia"/>
          <w:color w:val="333333"/>
          <w:kern w:val="0"/>
          <w:sz w:val="30"/>
          <w:szCs w:val="30"/>
        </w:rPr>
        <w:lastRenderedPageBreak/>
        <w:t>排放配额：是政府分配给重点排放单位指定时期内的碳排放额度，是碳排放权的凭证和载体。1单位配额相当于1吨二氧化碳当量。</w:t>
      </w:r>
    </w:p>
    <w:p w:rsidR="00CA3B3C" w:rsidRPr="00CA3B3C" w:rsidRDefault="00CA3B3C" w:rsidP="00A36A6A">
      <w:pPr>
        <w:widowControl/>
        <w:snapToGrid w:val="0"/>
        <w:spacing w:line="600" w:lineRule="atLeast"/>
        <w:ind w:firstLineChars="200" w:firstLine="600"/>
        <w:jc w:val="left"/>
        <w:rPr>
          <w:rFonts w:ascii="宋体" w:eastAsia="宋体" w:hAnsi="宋体" w:cs="宋体"/>
          <w:color w:val="333333"/>
          <w:kern w:val="0"/>
          <w:sz w:val="24"/>
          <w:szCs w:val="24"/>
        </w:rPr>
      </w:pPr>
      <w:r w:rsidRPr="00CA3B3C">
        <w:rPr>
          <w:rFonts w:ascii="仿宋_GB2312" w:eastAsia="仿宋_GB2312" w:hAnsi="宋体" w:cs="宋体" w:hint="eastAsia"/>
          <w:color w:val="333333"/>
          <w:kern w:val="0"/>
          <w:sz w:val="30"/>
          <w:szCs w:val="30"/>
        </w:rPr>
        <w:t>重点排放单位：是指满足国务院碳交易主管部门确定的纳入碳排放权交易标准且具有独立法人资格的温室气体排放单位。</w:t>
      </w:r>
    </w:p>
    <w:p w:rsidR="00CA3B3C" w:rsidRPr="00CA3B3C" w:rsidRDefault="00CA3B3C" w:rsidP="00A36A6A">
      <w:pPr>
        <w:widowControl/>
        <w:snapToGrid w:val="0"/>
        <w:spacing w:line="600" w:lineRule="atLeast"/>
        <w:ind w:firstLineChars="200" w:firstLine="600"/>
        <w:jc w:val="left"/>
        <w:rPr>
          <w:rFonts w:ascii="宋体" w:eastAsia="宋体" w:hAnsi="宋体" w:cs="宋体"/>
          <w:color w:val="333333"/>
          <w:kern w:val="0"/>
          <w:sz w:val="24"/>
          <w:szCs w:val="24"/>
        </w:rPr>
      </w:pPr>
      <w:r w:rsidRPr="00CA3B3C">
        <w:rPr>
          <w:rFonts w:ascii="仿宋_GB2312" w:eastAsia="仿宋_GB2312" w:hAnsi="宋体" w:cs="宋体" w:hint="eastAsia"/>
          <w:color w:val="333333"/>
          <w:kern w:val="0"/>
          <w:sz w:val="30"/>
          <w:szCs w:val="30"/>
        </w:rPr>
        <w:t>国家核证自愿减排量：是指依据国家发展和改革委员会发布施行的《温室气体自愿减排交易管理暂行办法》的规定，经其备案并在国家注册登记系统中登记的温室气体自愿减排量，简称CCER。</w:t>
      </w:r>
    </w:p>
    <w:p w:rsidR="00CA3B3C" w:rsidRPr="00CA3B3C" w:rsidRDefault="00CA3B3C" w:rsidP="00A36A6A">
      <w:pPr>
        <w:widowControl/>
        <w:snapToGrid w:val="0"/>
        <w:spacing w:line="600" w:lineRule="atLeast"/>
        <w:ind w:firstLine="600"/>
        <w:jc w:val="left"/>
        <w:rPr>
          <w:rFonts w:ascii="宋体" w:eastAsia="宋体" w:hAnsi="宋体" w:cs="宋体"/>
          <w:color w:val="333333"/>
          <w:kern w:val="0"/>
          <w:sz w:val="24"/>
          <w:szCs w:val="24"/>
        </w:rPr>
      </w:pPr>
      <w:r w:rsidRPr="00CA3B3C">
        <w:rPr>
          <w:rFonts w:ascii="仿宋_GB2312" w:eastAsia="仿宋_GB2312" w:hAnsi="宋体" w:cs="仿宋_GB2312" w:hint="eastAsia"/>
          <w:color w:val="333333"/>
          <w:kern w:val="0"/>
          <w:sz w:val="30"/>
          <w:szCs w:val="30"/>
        </w:rPr>
        <w:t>第四十八条</w:t>
      </w:r>
      <w:r w:rsidRPr="00CA3B3C">
        <w:rPr>
          <w:rFonts w:ascii="Calibri" w:eastAsia="仿宋_GB2312" w:hAnsi="宋体" w:cs="宋体" w:hint="eastAsia"/>
          <w:color w:val="333333"/>
          <w:kern w:val="0"/>
          <w:sz w:val="30"/>
          <w:szCs w:val="30"/>
        </w:rPr>
        <w:t>本办法自公布之日起</w:t>
      </w:r>
      <w:r w:rsidRPr="00CA3B3C">
        <w:rPr>
          <w:rFonts w:ascii="仿宋_GB2312" w:eastAsia="仿宋_GB2312" w:hAnsi="宋体" w:cs="宋体" w:hint="eastAsia"/>
          <w:color w:val="333333"/>
          <w:kern w:val="0"/>
          <w:sz w:val="30"/>
          <w:szCs w:val="30"/>
        </w:rPr>
        <w:t>30</w:t>
      </w:r>
      <w:r w:rsidRPr="00CA3B3C">
        <w:rPr>
          <w:rFonts w:ascii="Calibri" w:eastAsia="仿宋_GB2312" w:hAnsi="宋体" w:cs="宋体" w:hint="eastAsia"/>
          <w:color w:val="333333"/>
          <w:kern w:val="0"/>
          <w:sz w:val="30"/>
          <w:szCs w:val="30"/>
        </w:rPr>
        <w:t>日后施行。</w:t>
      </w:r>
    </w:p>
    <w:p w:rsidR="00DB21A0" w:rsidRPr="00CA3B3C" w:rsidRDefault="00DB21A0" w:rsidP="00A36A6A"/>
    <w:sectPr w:rsidR="00DB21A0" w:rsidRPr="00CA3B3C" w:rsidSect="00D827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4CA" w:rsidRDefault="00C964CA" w:rsidP="00CA3B3C">
      <w:r>
        <w:separator/>
      </w:r>
    </w:p>
  </w:endnote>
  <w:endnote w:type="continuationSeparator" w:id="1">
    <w:p w:rsidR="00C964CA" w:rsidRDefault="00C964CA" w:rsidP="00CA3B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4CA" w:rsidRDefault="00C964CA" w:rsidP="00CA3B3C">
      <w:r>
        <w:separator/>
      </w:r>
    </w:p>
  </w:footnote>
  <w:footnote w:type="continuationSeparator" w:id="1">
    <w:p w:rsidR="00C964CA" w:rsidRDefault="00C964CA" w:rsidP="00CA3B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786E"/>
    <w:rsid w:val="004C0525"/>
    <w:rsid w:val="006E78A7"/>
    <w:rsid w:val="009C786E"/>
    <w:rsid w:val="00A36A6A"/>
    <w:rsid w:val="00B3363D"/>
    <w:rsid w:val="00C964CA"/>
    <w:rsid w:val="00CA3B3C"/>
    <w:rsid w:val="00CE2044"/>
    <w:rsid w:val="00D72D31"/>
    <w:rsid w:val="00D82734"/>
    <w:rsid w:val="00DB21A0"/>
    <w:rsid w:val="00E804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7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3B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3B3C"/>
    <w:rPr>
      <w:sz w:val="18"/>
      <w:szCs w:val="18"/>
    </w:rPr>
  </w:style>
  <w:style w:type="paragraph" w:styleId="a4">
    <w:name w:val="footer"/>
    <w:basedOn w:val="a"/>
    <w:link w:val="Char0"/>
    <w:uiPriority w:val="99"/>
    <w:unhideWhenUsed/>
    <w:rsid w:val="00CA3B3C"/>
    <w:pPr>
      <w:tabs>
        <w:tab w:val="center" w:pos="4153"/>
        <w:tab w:val="right" w:pos="8306"/>
      </w:tabs>
      <w:snapToGrid w:val="0"/>
      <w:jc w:val="left"/>
    </w:pPr>
    <w:rPr>
      <w:sz w:val="18"/>
      <w:szCs w:val="18"/>
    </w:rPr>
  </w:style>
  <w:style w:type="character" w:customStyle="1" w:styleId="Char0">
    <w:name w:val="页脚 Char"/>
    <w:basedOn w:val="a0"/>
    <w:link w:val="a4"/>
    <w:uiPriority w:val="99"/>
    <w:rsid w:val="00CA3B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3B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3B3C"/>
    <w:rPr>
      <w:sz w:val="18"/>
      <w:szCs w:val="18"/>
    </w:rPr>
  </w:style>
  <w:style w:type="paragraph" w:styleId="a4">
    <w:name w:val="footer"/>
    <w:basedOn w:val="a"/>
    <w:link w:val="Char0"/>
    <w:uiPriority w:val="99"/>
    <w:unhideWhenUsed/>
    <w:rsid w:val="00CA3B3C"/>
    <w:pPr>
      <w:tabs>
        <w:tab w:val="center" w:pos="4153"/>
        <w:tab w:val="right" w:pos="8306"/>
      </w:tabs>
      <w:snapToGrid w:val="0"/>
      <w:jc w:val="left"/>
    </w:pPr>
    <w:rPr>
      <w:sz w:val="18"/>
      <w:szCs w:val="18"/>
    </w:rPr>
  </w:style>
  <w:style w:type="character" w:customStyle="1" w:styleId="Char0">
    <w:name w:val="页脚 Char"/>
    <w:basedOn w:val="a0"/>
    <w:link w:val="a4"/>
    <w:uiPriority w:val="99"/>
    <w:rsid w:val="00CA3B3C"/>
    <w:rPr>
      <w:sz w:val="18"/>
      <w:szCs w:val="18"/>
    </w:rPr>
  </w:style>
</w:styles>
</file>

<file path=word/webSettings.xml><?xml version="1.0" encoding="utf-8"?>
<w:webSettings xmlns:r="http://schemas.openxmlformats.org/officeDocument/2006/relationships" xmlns:w="http://schemas.openxmlformats.org/wordprocessingml/2006/main">
  <w:divs>
    <w:div w:id="994265633">
      <w:bodyDiv w:val="1"/>
      <w:marLeft w:val="0"/>
      <w:marRight w:val="0"/>
      <w:marTop w:val="100"/>
      <w:marBottom w:val="100"/>
      <w:divBdr>
        <w:top w:val="none" w:sz="0" w:space="0" w:color="auto"/>
        <w:left w:val="none" w:sz="0" w:space="0" w:color="auto"/>
        <w:bottom w:val="none" w:sz="0" w:space="0" w:color="auto"/>
        <w:right w:val="none" w:sz="0" w:space="0" w:color="auto"/>
      </w:divBdr>
      <w:divsChild>
        <w:div w:id="807625776">
          <w:marLeft w:val="0"/>
          <w:marRight w:val="0"/>
          <w:marTop w:val="100"/>
          <w:marBottom w:val="100"/>
          <w:divBdr>
            <w:top w:val="none" w:sz="0" w:space="0" w:color="auto"/>
            <w:left w:val="none" w:sz="0" w:space="0" w:color="auto"/>
            <w:bottom w:val="none" w:sz="0" w:space="0" w:color="auto"/>
            <w:right w:val="none" w:sz="0" w:space="0" w:color="auto"/>
          </w:divBdr>
          <w:divsChild>
            <w:div w:id="1636064971">
              <w:marLeft w:val="0"/>
              <w:marRight w:val="0"/>
              <w:marTop w:val="0"/>
              <w:marBottom w:val="0"/>
              <w:divBdr>
                <w:top w:val="none" w:sz="0" w:space="0" w:color="auto"/>
                <w:left w:val="none" w:sz="0" w:space="0" w:color="auto"/>
                <w:bottom w:val="none" w:sz="0" w:space="0" w:color="auto"/>
                <w:right w:val="none" w:sz="0" w:space="0" w:color="auto"/>
              </w:divBdr>
              <w:divsChild>
                <w:div w:id="2077773595">
                  <w:marLeft w:val="0"/>
                  <w:marRight w:val="0"/>
                  <w:marTop w:val="0"/>
                  <w:marBottom w:val="300"/>
                  <w:divBdr>
                    <w:top w:val="none" w:sz="0" w:space="0" w:color="auto"/>
                    <w:left w:val="none" w:sz="0" w:space="0" w:color="auto"/>
                    <w:bottom w:val="none" w:sz="0" w:space="0" w:color="auto"/>
                    <w:right w:val="none" w:sz="0" w:space="0" w:color="auto"/>
                  </w:divBdr>
                  <w:divsChild>
                    <w:div w:id="999848254">
                      <w:marLeft w:val="0"/>
                      <w:marRight w:val="-4350"/>
                      <w:marTop w:val="0"/>
                      <w:marBottom w:val="0"/>
                      <w:divBdr>
                        <w:top w:val="none" w:sz="0" w:space="0" w:color="auto"/>
                        <w:left w:val="none" w:sz="0" w:space="0" w:color="auto"/>
                        <w:bottom w:val="none" w:sz="0" w:space="0" w:color="auto"/>
                        <w:right w:val="none" w:sz="0" w:space="0" w:color="auto"/>
                      </w:divBdr>
                      <w:divsChild>
                        <w:div w:id="1458141981">
                          <w:marLeft w:val="0"/>
                          <w:marRight w:val="4800"/>
                          <w:marTop w:val="0"/>
                          <w:marBottom w:val="0"/>
                          <w:divBdr>
                            <w:top w:val="none" w:sz="0" w:space="0" w:color="auto"/>
                            <w:left w:val="none" w:sz="0" w:space="0" w:color="auto"/>
                            <w:bottom w:val="none" w:sz="0" w:space="0" w:color="auto"/>
                            <w:right w:val="none" w:sz="0" w:space="0" w:color="auto"/>
                          </w:divBdr>
                          <w:divsChild>
                            <w:div w:id="432937905">
                              <w:marLeft w:val="0"/>
                              <w:marRight w:val="0"/>
                              <w:marTop w:val="225"/>
                              <w:marBottom w:val="375"/>
                              <w:divBdr>
                                <w:top w:val="none" w:sz="0" w:space="0" w:color="auto"/>
                                <w:left w:val="none" w:sz="0" w:space="0" w:color="auto"/>
                                <w:bottom w:val="none" w:sz="0" w:space="0" w:color="auto"/>
                                <w:right w:val="none" w:sz="0" w:space="0" w:color="auto"/>
                              </w:divBdr>
                              <w:divsChild>
                                <w:div w:id="143585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701</Words>
  <Characters>3999</Characters>
  <Application>Microsoft Office Word</Application>
  <DocSecurity>0</DocSecurity>
  <Lines>33</Lines>
  <Paragraphs>9</Paragraphs>
  <ScaleCrop>false</ScaleCrop>
  <Company>Microsoft</Company>
  <LinksUpToDate>false</LinksUpToDate>
  <CharactersWithSpaces>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dc:creator>
  <cp:lastModifiedBy>DY</cp:lastModifiedBy>
  <cp:revision>2</cp:revision>
  <dcterms:created xsi:type="dcterms:W3CDTF">2014-12-17T02:16:00Z</dcterms:created>
  <dcterms:modified xsi:type="dcterms:W3CDTF">2014-12-17T02:16:00Z</dcterms:modified>
</cp:coreProperties>
</file>